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907" w:rsidRPr="00445220" w:rsidRDefault="008043F3" w:rsidP="008043F3">
      <w:pPr>
        <w:spacing w:after="0" w:line="240" w:lineRule="auto"/>
        <w:jc w:val="center"/>
        <w:rPr>
          <w:b/>
          <w:sz w:val="24"/>
          <w:szCs w:val="24"/>
          <w:u w:val="single"/>
        </w:rPr>
      </w:pPr>
      <w:r w:rsidRPr="00445220">
        <w:rPr>
          <w:b/>
          <w:sz w:val="24"/>
          <w:szCs w:val="24"/>
          <w:u w:val="single"/>
        </w:rPr>
        <w:t>H</w:t>
      </w:r>
      <w:r w:rsidR="000F6E7C" w:rsidRPr="00445220">
        <w:rPr>
          <w:b/>
          <w:sz w:val="24"/>
          <w:szCs w:val="24"/>
          <w:u w:val="single"/>
        </w:rPr>
        <w:t>elp America Vote Act (H</w:t>
      </w:r>
      <w:r w:rsidRPr="00445220">
        <w:rPr>
          <w:b/>
          <w:sz w:val="24"/>
          <w:szCs w:val="24"/>
          <w:u w:val="single"/>
        </w:rPr>
        <w:t>AVA</w:t>
      </w:r>
      <w:r w:rsidR="000F6E7C" w:rsidRPr="00445220">
        <w:rPr>
          <w:b/>
          <w:sz w:val="24"/>
          <w:szCs w:val="24"/>
          <w:u w:val="single"/>
        </w:rPr>
        <w:t>)</w:t>
      </w:r>
      <w:r w:rsidRPr="00445220">
        <w:rPr>
          <w:b/>
          <w:sz w:val="24"/>
          <w:szCs w:val="24"/>
          <w:u w:val="single"/>
        </w:rPr>
        <w:t xml:space="preserve"> Grant Board </w:t>
      </w:r>
      <w:r w:rsidR="00D879C6" w:rsidRPr="00445220">
        <w:rPr>
          <w:b/>
          <w:sz w:val="24"/>
          <w:szCs w:val="24"/>
          <w:u w:val="single"/>
        </w:rPr>
        <w:t>and Parameters</w:t>
      </w:r>
    </w:p>
    <w:p w:rsidR="008043F3" w:rsidRPr="008043F3" w:rsidRDefault="008043F3" w:rsidP="008043F3">
      <w:pPr>
        <w:spacing w:after="0" w:line="240" w:lineRule="auto"/>
      </w:pPr>
    </w:p>
    <w:p w:rsidR="008043F3" w:rsidRPr="00D879C6" w:rsidRDefault="008043F3" w:rsidP="008043F3">
      <w:pPr>
        <w:spacing w:after="0" w:line="240" w:lineRule="auto"/>
        <w:rPr>
          <w:sz w:val="24"/>
          <w:szCs w:val="24"/>
        </w:rPr>
      </w:pPr>
      <w:r w:rsidRPr="00D879C6">
        <w:rPr>
          <w:sz w:val="24"/>
          <w:szCs w:val="24"/>
        </w:rPr>
        <w:t xml:space="preserve">The Secretary of State, with the approval of the State Board of Elections, </w:t>
      </w:r>
      <w:r w:rsidR="00D879C6">
        <w:rPr>
          <w:sz w:val="24"/>
          <w:szCs w:val="24"/>
        </w:rPr>
        <w:t>established</w:t>
      </w:r>
      <w:r w:rsidRPr="00D879C6">
        <w:rPr>
          <w:sz w:val="24"/>
          <w:szCs w:val="24"/>
        </w:rPr>
        <w:t xml:space="preserve"> a HAVA Grant Board</w:t>
      </w:r>
      <w:r w:rsidR="00D879C6">
        <w:rPr>
          <w:sz w:val="24"/>
          <w:szCs w:val="24"/>
        </w:rPr>
        <w:t xml:space="preserve"> on June </w:t>
      </w:r>
      <w:r w:rsidR="00C56453">
        <w:rPr>
          <w:sz w:val="24"/>
          <w:szCs w:val="24"/>
        </w:rPr>
        <w:t>15</w:t>
      </w:r>
      <w:r w:rsidR="00D879C6">
        <w:rPr>
          <w:sz w:val="24"/>
          <w:szCs w:val="24"/>
        </w:rPr>
        <w:t>, 2015</w:t>
      </w:r>
      <w:r w:rsidRPr="00D879C6">
        <w:rPr>
          <w:sz w:val="24"/>
          <w:szCs w:val="24"/>
        </w:rPr>
        <w:t>, consisting of four County Auditors (two Democrats and two Republicans), the Senior Elections Coordinator in the office of the Secretary of State, one member from the disability community, and one member from the Department of Tribal Relations. All members, except for the Senior Elections Coordinator, will serve a four year term. The Senior Elections</w:t>
      </w:r>
      <w:r w:rsidR="006D0860">
        <w:rPr>
          <w:sz w:val="24"/>
          <w:szCs w:val="24"/>
        </w:rPr>
        <w:t xml:space="preserve">/HAVA </w:t>
      </w:r>
      <w:r w:rsidRPr="00D879C6">
        <w:rPr>
          <w:sz w:val="24"/>
          <w:szCs w:val="24"/>
        </w:rPr>
        <w:t xml:space="preserve">Coordinator will serve as the Chair of the HAVA Grant Board and the Secretary of State’s office will assist the HAVA Grant Board with anything necessary to meet the requirements set forth in this plan. This board is responsible for developing, reviewing, and making recommendations to the Secretary of State in matters pertaining to the local government grant program and will comply with the State’s open meeting laws. </w:t>
      </w:r>
    </w:p>
    <w:p w:rsidR="008043F3" w:rsidRPr="00D879C6" w:rsidRDefault="008043F3" w:rsidP="008043F3">
      <w:pPr>
        <w:spacing w:after="0" w:line="240" w:lineRule="auto"/>
        <w:rPr>
          <w:sz w:val="24"/>
          <w:szCs w:val="24"/>
        </w:rPr>
      </w:pPr>
    </w:p>
    <w:p w:rsidR="00D879C6" w:rsidRPr="00445220" w:rsidRDefault="00D879C6" w:rsidP="00D879C6">
      <w:pPr>
        <w:spacing w:after="120" w:line="240" w:lineRule="auto"/>
        <w:outlineLvl w:val="1"/>
        <w:rPr>
          <w:rFonts w:eastAsia="Times New Roman" w:cs="Times New Roman"/>
          <w:color w:val="00133B"/>
          <w:sz w:val="24"/>
          <w:szCs w:val="24"/>
          <w:u w:val="single"/>
        </w:rPr>
      </w:pPr>
      <w:r w:rsidRPr="00445220">
        <w:rPr>
          <w:rFonts w:eastAsia="Times New Roman" w:cs="Times New Roman"/>
          <w:color w:val="00133B"/>
          <w:sz w:val="24"/>
          <w:szCs w:val="24"/>
          <w:u w:val="single"/>
        </w:rPr>
        <w:t>HAVA Grant Board Members</w:t>
      </w:r>
    </w:p>
    <w:p w:rsidR="00D879C6" w:rsidRPr="00D879C6" w:rsidRDefault="008230DA" w:rsidP="00D879C6">
      <w:pPr>
        <w:numPr>
          <w:ilvl w:val="0"/>
          <w:numId w:val="3"/>
        </w:numPr>
        <w:spacing w:after="0" w:line="324" w:lineRule="atLeast"/>
        <w:ind w:left="480"/>
        <w:rPr>
          <w:rFonts w:eastAsia="Times New Roman" w:cs="Arial"/>
          <w:color w:val="000000" w:themeColor="text1"/>
          <w:sz w:val="24"/>
          <w:szCs w:val="24"/>
        </w:rPr>
      </w:pPr>
      <w:r>
        <w:rPr>
          <w:rFonts w:eastAsia="Times New Roman" w:cs="Arial"/>
          <w:color w:val="000000" w:themeColor="text1"/>
          <w:sz w:val="24"/>
          <w:szCs w:val="24"/>
        </w:rPr>
        <w:t>Cindy Longbrake</w:t>
      </w:r>
      <w:r w:rsidR="00D879C6" w:rsidRPr="00D879C6">
        <w:rPr>
          <w:rFonts w:eastAsia="Times New Roman" w:cs="Arial"/>
          <w:color w:val="000000" w:themeColor="text1"/>
          <w:sz w:val="24"/>
          <w:szCs w:val="24"/>
        </w:rPr>
        <w:t xml:space="preserve"> (D) </w:t>
      </w:r>
      <w:r>
        <w:rPr>
          <w:rFonts w:eastAsia="Times New Roman" w:cs="Arial"/>
          <w:color w:val="000000" w:themeColor="text1"/>
          <w:sz w:val="24"/>
          <w:szCs w:val="24"/>
        </w:rPr>
        <w:t>Ziebach</w:t>
      </w:r>
      <w:r w:rsidR="00D879C6" w:rsidRPr="00D879C6">
        <w:rPr>
          <w:rFonts w:eastAsia="Times New Roman" w:cs="Arial"/>
          <w:color w:val="000000" w:themeColor="text1"/>
          <w:sz w:val="24"/>
          <w:szCs w:val="24"/>
        </w:rPr>
        <w:t xml:space="preserve"> County Auditor</w:t>
      </w:r>
    </w:p>
    <w:p w:rsidR="00D879C6" w:rsidRPr="00D879C6" w:rsidRDefault="00D879C6" w:rsidP="00D879C6">
      <w:pPr>
        <w:numPr>
          <w:ilvl w:val="0"/>
          <w:numId w:val="3"/>
        </w:numPr>
        <w:spacing w:after="0" w:line="324" w:lineRule="atLeast"/>
        <w:ind w:left="480"/>
        <w:rPr>
          <w:rFonts w:eastAsia="Times New Roman" w:cs="Arial"/>
          <w:color w:val="000000" w:themeColor="text1"/>
          <w:sz w:val="24"/>
          <w:szCs w:val="24"/>
        </w:rPr>
      </w:pPr>
      <w:r w:rsidRPr="00D879C6">
        <w:rPr>
          <w:rFonts w:eastAsia="Times New Roman" w:cs="Arial"/>
          <w:color w:val="000000" w:themeColor="text1"/>
          <w:sz w:val="24"/>
          <w:szCs w:val="24"/>
        </w:rPr>
        <w:t>Bob Litz (R) Minnehaha County Auditor</w:t>
      </w:r>
    </w:p>
    <w:p w:rsidR="00D879C6" w:rsidRPr="00D879C6" w:rsidRDefault="00D879C6" w:rsidP="00D879C6">
      <w:pPr>
        <w:numPr>
          <w:ilvl w:val="0"/>
          <w:numId w:val="3"/>
        </w:numPr>
        <w:spacing w:after="0" w:line="324" w:lineRule="atLeast"/>
        <w:ind w:left="480"/>
        <w:rPr>
          <w:rFonts w:eastAsia="Times New Roman" w:cs="Arial"/>
          <w:color w:val="000000" w:themeColor="text1"/>
          <w:sz w:val="24"/>
          <w:szCs w:val="24"/>
        </w:rPr>
      </w:pPr>
      <w:r w:rsidRPr="00D879C6">
        <w:rPr>
          <w:rFonts w:eastAsia="Times New Roman" w:cs="Arial"/>
          <w:color w:val="000000" w:themeColor="text1"/>
          <w:sz w:val="24"/>
          <w:szCs w:val="24"/>
        </w:rPr>
        <w:t>Bobbi Janke (D) Lake County Auditor</w:t>
      </w:r>
    </w:p>
    <w:p w:rsidR="00D879C6" w:rsidRPr="00D879C6" w:rsidRDefault="00D879C6" w:rsidP="00D879C6">
      <w:pPr>
        <w:numPr>
          <w:ilvl w:val="0"/>
          <w:numId w:val="3"/>
        </w:numPr>
        <w:spacing w:after="0" w:line="324" w:lineRule="atLeast"/>
        <w:ind w:left="480"/>
        <w:rPr>
          <w:rFonts w:eastAsia="Times New Roman" w:cs="Arial"/>
          <w:color w:val="000000" w:themeColor="text1"/>
          <w:sz w:val="24"/>
          <w:szCs w:val="24"/>
        </w:rPr>
      </w:pPr>
      <w:r w:rsidRPr="00D879C6">
        <w:rPr>
          <w:rFonts w:eastAsia="Times New Roman" w:cs="Arial"/>
          <w:color w:val="000000" w:themeColor="text1"/>
          <w:sz w:val="24"/>
          <w:szCs w:val="24"/>
        </w:rPr>
        <w:t>Sheila Hagemann (R) Turner County Auditor</w:t>
      </w:r>
    </w:p>
    <w:p w:rsidR="00D879C6" w:rsidRDefault="005E2B8E" w:rsidP="00D879C6">
      <w:pPr>
        <w:numPr>
          <w:ilvl w:val="0"/>
          <w:numId w:val="3"/>
        </w:numPr>
        <w:spacing w:after="0" w:line="324" w:lineRule="atLeast"/>
        <w:ind w:left="480"/>
        <w:rPr>
          <w:rFonts w:eastAsia="Times New Roman" w:cs="Arial"/>
          <w:color w:val="000000" w:themeColor="text1"/>
          <w:sz w:val="24"/>
          <w:szCs w:val="24"/>
        </w:rPr>
      </w:pPr>
      <w:r>
        <w:rPr>
          <w:rFonts w:eastAsia="Times New Roman" w:cs="Arial"/>
          <w:color w:val="000000" w:themeColor="text1"/>
          <w:sz w:val="24"/>
          <w:szCs w:val="24"/>
        </w:rPr>
        <w:t>Travis Arneson (Sioux Falls)</w:t>
      </w:r>
      <w:r w:rsidR="00D879C6" w:rsidRPr="00D879C6">
        <w:rPr>
          <w:rFonts w:eastAsia="Times New Roman" w:cs="Arial"/>
          <w:color w:val="000000" w:themeColor="text1"/>
          <w:sz w:val="24"/>
          <w:szCs w:val="24"/>
        </w:rPr>
        <w:t xml:space="preserve"> Disability Community Representative</w:t>
      </w:r>
    </w:p>
    <w:p w:rsidR="005E2B8E" w:rsidRPr="00D879C6" w:rsidRDefault="00C32369" w:rsidP="00D879C6">
      <w:pPr>
        <w:numPr>
          <w:ilvl w:val="0"/>
          <w:numId w:val="3"/>
        </w:numPr>
        <w:spacing w:after="0" w:line="324" w:lineRule="atLeast"/>
        <w:ind w:left="480"/>
        <w:rPr>
          <w:rFonts w:eastAsia="Times New Roman" w:cs="Arial"/>
          <w:color w:val="000000" w:themeColor="text1"/>
          <w:sz w:val="24"/>
          <w:szCs w:val="24"/>
        </w:rPr>
      </w:pPr>
      <w:r>
        <w:rPr>
          <w:rFonts w:eastAsia="Times New Roman" w:cs="Arial"/>
          <w:color w:val="000000" w:themeColor="text1"/>
          <w:sz w:val="24"/>
          <w:szCs w:val="24"/>
        </w:rPr>
        <w:t>Alli Moran</w:t>
      </w:r>
      <w:bookmarkStart w:id="0" w:name="_GoBack"/>
      <w:bookmarkEnd w:id="0"/>
      <w:r w:rsidR="005E2B8E">
        <w:rPr>
          <w:rFonts w:eastAsia="Times New Roman" w:cs="Arial"/>
          <w:color w:val="000000" w:themeColor="text1"/>
          <w:sz w:val="24"/>
          <w:szCs w:val="24"/>
        </w:rPr>
        <w:t>, South Dakota Department of Tribal Relations</w:t>
      </w:r>
    </w:p>
    <w:p w:rsidR="00D879C6" w:rsidRPr="00D879C6" w:rsidRDefault="00EB65D7" w:rsidP="00D879C6">
      <w:pPr>
        <w:numPr>
          <w:ilvl w:val="0"/>
          <w:numId w:val="3"/>
        </w:numPr>
        <w:spacing w:after="0" w:line="324" w:lineRule="atLeast"/>
        <w:ind w:left="480"/>
        <w:rPr>
          <w:rFonts w:eastAsia="Times New Roman" w:cs="Arial"/>
          <w:color w:val="000000" w:themeColor="text1"/>
          <w:sz w:val="24"/>
          <w:szCs w:val="24"/>
        </w:rPr>
      </w:pPr>
      <w:r>
        <w:rPr>
          <w:rFonts w:eastAsia="Times New Roman" w:cs="Arial"/>
          <w:color w:val="000000" w:themeColor="text1"/>
          <w:sz w:val="24"/>
          <w:szCs w:val="24"/>
        </w:rPr>
        <w:t xml:space="preserve">Rory Mennenger, Secretary of State's office Elections &amp; Federal Programs </w:t>
      </w:r>
      <w:r w:rsidR="00D879C6" w:rsidRPr="00D879C6">
        <w:rPr>
          <w:rFonts w:eastAsia="Times New Roman" w:cs="Arial"/>
          <w:color w:val="000000" w:themeColor="text1"/>
          <w:sz w:val="24"/>
          <w:szCs w:val="24"/>
        </w:rPr>
        <w:t>Coordinator</w:t>
      </w:r>
    </w:p>
    <w:p w:rsidR="000F6E7C" w:rsidRPr="00D879C6" w:rsidRDefault="000F6E7C" w:rsidP="000F6E7C">
      <w:pPr>
        <w:spacing w:after="0" w:line="240" w:lineRule="auto"/>
        <w:rPr>
          <w:sz w:val="24"/>
          <w:szCs w:val="24"/>
        </w:rPr>
      </w:pPr>
    </w:p>
    <w:p w:rsidR="000F6E7C" w:rsidRPr="00D879C6" w:rsidRDefault="000F6E7C" w:rsidP="000F6E7C">
      <w:pPr>
        <w:spacing w:after="0" w:line="240" w:lineRule="auto"/>
        <w:rPr>
          <w:sz w:val="24"/>
          <w:szCs w:val="24"/>
        </w:rPr>
      </w:pPr>
      <w:r w:rsidRPr="00D879C6">
        <w:rPr>
          <w:sz w:val="24"/>
          <w:szCs w:val="24"/>
          <w:u w:val="single"/>
        </w:rPr>
        <w:t>HAVA Grant parameters</w:t>
      </w:r>
      <w:r w:rsidRPr="00D879C6">
        <w:rPr>
          <w:sz w:val="24"/>
          <w:szCs w:val="24"/>
        </w:rPr>
        <w:t>:</w:t>
      </w:r>
    </w:p>
    <w:p w:rsidR="000F6E7C" w:rsidRPr="00D879C6" w:rsidRDefault="000F6E7C" w:rsidP="000F6E7C">
      <w:pPr>
        <w:spacing w:after="0" w:line="240" w:lineRule="auto"/>
        <w:rPr>
          <w:sz w:val="24"/>
          <w:szCs w:val="24"/>
        </w:rPr>
      </w:pPr>
      <w:r w:rsidRPr="00D879C6">
        <w:rPr>
          <w:sz w:val="24"/>
          <w:szCs w:val="24"/>
        </w:rPr>
        <w:t xml:space="preserve">This administration wants to ensure there is HAVA funding available for South Dakota’s 66 counties for future federal election expenses.  </w:t>
      </w:r>
    </w:p>
    <w:p w:rsidR="00193B83" w:rsidRPr="00D879C6" w:rsidRDefault="00193B83" w:rsidP="000F6E7C">
      <w:pPr>
        <w:pStyle w:val="ListParagraph"/>
        <w:numPr>
          <w:ilvl w:val="0"/>
          <w:numId w:val="2"/>
        </w:numPr>
        <w:spacing w:after="0" w:line="240" w:lineRule="auto"/>
        <w:rPr>
          <w:sz w:val="24"/>
          <w:szCs w:val="24"/>
        </w:rPr>
      </w:pPr>
      <w:r w:rsidRPr="00D879C6">
        <w:rPr>
          <w:sz w:val="24"/>
          <w:szCs w:val="24"/>
        </w:rPr>
        <w:t xml:space="preserve">This grant funding is only available for the county </w:t>
      </w:r>
      <w:r w:rsidR="009B7EB4" w:rsidRPr="00D879C6">
        <w:rPr>
          <w:sz w:val="24"/>
          <w:szCs w:val="24"/>
        </w:rPr>
        <w:t>auditors</w:t>
      </w:r>
      <w:r w:rsidRPr="00D879C6">
        <w:rPr>
          <w:sz w:val="24"/>
          <w:szCs w:val="24"/>
        </w:rPr>
        <w:t xml:space="preserve"> to apply for</w:t>
      </w:r>
    </w:p>
    <w:p w:rsidR="00193B83" w:rsidRPr="00D879C6" w:rsidRDefault="00193B83" w:rsidP="000F6E7C">
      <w:pPr>
        <w:pStyle w:val="ListParagraph"/>
        <w:numPr>
          <w:ilvl w:val="0"/>
          <w:numId w:val="2"/>
        </w:numPr>
        <w:spacing w:after="0" w:line="240" w:lineRule="auto"/>
        <w:rPr>
          <w:sz w:val="24"/>
          <w:szCs w:val="24"/>
        </w:rPr>
      </w:pPr>
      <w:r w:rsidRPr="00D879C6">
        <w:rPr>
          <w:sz w:val="24"/>
          <w:szCs w:val="24"/>
        </w:rPr>
        <w:t>This grant funding is not open to local elections (municipal, school, or special districts)</w:t>
      </w:r>
    </w:p>
    <w:p w:rsidR="00193B83" w:rsidRPr="00D879C6" w:rsidRDefault="00193B83" w:rsidP="000F6E7C">
      <w:pPr>
        <w:pStyle w:val="ListParagraph"/>
        <w:numPr>
          <w:ilvl w:val="0"/>
          <w:numId w:val="2"/>
        </w:numPr>
        <w:spacing w:after="0" w:line="240" w:lineRule="auto"/>
        <w:rPr>
          <w:sz w:val="24"/>
          <w:szCs w:val="24"/>
        </w:rPr>
      </w:pPr>
      <w:r w:rsidRPr="00D879C6">
        <w:rPr>
          <w:sz w:val="24"/>
          <w:szCs w:val="24"/>
        </w:rPr>
        <w:t xml:space="preserve">This funding can only be used towards expenses that are covered under the HAVA requirements and cannot be used for the </w:t>
      </w:r>
      <w:r w:rsidR="009B7EB4" w:rsidRPr="00D879C6">
        <w:rPr>
          <w:sz w:val="24"/>
          <w:szCs w:val="24"/>
        </w:rPr>
        <w:t xml:space="preserve">purchase of the </w:t>
      </w:r>
      <w:r w:rsidRPr="00D879C6">
        <w:rPr>
          <w:sz w:val="24"/>
          <w:szCs w:val="24"/>
        </w:rPr>
        <w:t>following items</w:t>
      </w:r>
      <w:r w:rsidR="009B7EB4" w:rsidRPr="00D879C6">
        <w:rPr>
          <w:sz w:val="24"/>
          <w:szCs w:val="24"/>
        </w:rPr>
        <w:t xml:space="preserve"> (this does not prohibit the use of these funds for programming or other expenses associated with these items)</w:t>
      </w:r>
      <w:r w:rsidRPr="00D879C6">
        <w:rPr>
          <w:sz w:val="24"/>
          <w:szCs w:val="24"/>
        </w:rPr>
        <w:t>:</w:t>
      </w:r>
      <w:r w:rsidR="009B7EB4" w:rsidRPr="00D879C6">
        <w:rPr>
          <w:sz w:val="24"/>
          <w:szCs w:val="24"/>
        </w:rPr>
        <w:t xml:space="preserve">  Tabulating equipment, voter assist terminals, or electronic poll books.</w:t>
      </w:r>
    </w:p>
    <w:p w:rsidR="00D879C6" w:rsidRDefault="00D879C6" w:rsidP="000F6E7C">
      <w:pPr>
        <w:pStyle w:val="ListParagraph"/>
        <w:numPr>
          <w:ilvl w:val="0"/>
          <w:numId w:val="2"/>
        </w:numPr>
        <w:spacing w:after="0" w:line="240" w:lineRule="auto"/>
        <w:rPr>
          <w:sz w:val="24"/>
          <w:szCs w:val="24"/>
        </w:rPr>
      </w:pPr>
      <w:r w:rsidRPr="00D879C6">
        <w:rPr>
          <w:sz w:val="24"/>
          <w:szCs w:val="24"/>
        </w:rPr>
        <w:t>Maximum grant amount per county per year is $4,500 or $9,000 per Primary and General election cycle except in extraordinary cases such as satellite absentee voting locations, as defined in the HAVA State Plan</w:t>
      </w:r>
    </w:p>
    <w:p w:rsidR="000F6E7C" w:rsidRPr="00D879C6" w:rsidRDefault="000F6E7C" w:rsidP="000F6E7C">
      <w:pPr>
        <w:pStyle w:val="ListParagraph"/>
        <w:numPr>
          <w:ilvl w:val="1"/>
          <w:numId w:val="2"/>
        </w:numPr>
        <w:spacing w:after="0" w:line="240" w:lineRule="auto"/>
        <w:rPr>
          <w:sz w:val="24"/>
          <w:szCs w:val="24"/>
        </w:rPr>
      </w:pPr>
      <w:r w:rsidRPr="00D879C6">
        <w:rPr>
          <w:sz w:val="24"/>
          <w:szCs w:val="24"/>
        </w:rPr>
        <w:t>County must spend down their county held HAVA fund balance prior to being awarded HAVA grant funds</w:t>
      </w:r>
    </w:p>
    <w:p w:rsidR="006C44B8" w:rsidRPr="00D879C6" w:rsidRDefault="006C44B8" w:rsidP="000F6E7C">
      <w:pPr>
        <w:pStyle w:val="ListParagraph"/>
        <w:numPr>
          <w:ilvl w:val="1"/>
          <w:numId w:val="2"/>
        </w:numPr>
        <w:spacing w:after="0" w:line="240" w:lineRule="auto"/>
        <w:rPr>
          <w:sz w:val="24"/>
          <w:szCs w:val="24"/>
        </w:rPr>
      </w:pPr>
      <w:r w:rsidRPr="00D879C6">
        <w:rPr>
          <w:sz w:val="24"/>
          <w:szCs w:val="24"/>
        </w:rPr>
        <w:t xml:space="preserve">These parameters do not </w:t>
      </w:r>
      <w:r w:rsidR="006727ED" w:rsidRPr="00D879C6">
        <w:rPr>
          <w:sz w:val="24"/>
          <w:szCs w:val="24"/>
        </w:rPr>
        <w:t>prohibit the</w:t>
      </w:r>
      <w:r w:rsidRPr="00D879C6">
        <w:rPr>
          <w:sz w:val="24"/>
          <w:szCs w:val="24"/>
        </w:rPr>
        <w:t xml:space="preserve"> Secretary of State </w:t>
      </w:r>
      <w:r w:rsidR="00806685" w:rsidRPr="00D879C6">
        <w:rPr>
          <w:sz w:val="24"/>
          <w:szCs w:val="24"/>
        </w:rPr>
        <w:t>from granting</w:t>
      </w:r>
      <w:r w:rsidRPr="00D879C6">
        <w:rPr>
          <w:sz w:val="24"/>
          <w:szCs w:val="24"/>
        </w:rPr>
        <w:t xml:space="preserve"> additional HAVA funding to the 66 county auditors at any time.  </w:t>
      </w:r>
    </w:p>
    <w:p w:rsidR="000F6E7C" w:rsidRPr="00D879C6" w:rsidRDefault="000F6E7C" w:rsidP="000F6E7C">
      <w:pPr>
        <w:pStyle w:val="ListParagraph"/>
        <w:numPr>
          <w:ilvl w:val="0"/>
          <w:numId w:val="2"/>
        </w:numPr>
        <w:spacing w:after="0" w:line="240" w:lineRule="auto"/>
        <w:rPr>
          <w:sz w:val="24"/>
          <w:szCs w:val="24"/>
        </w:rPr>
      </w:pPr>
      <w:r w:rsidRPr="00D879C6">
        <w:rPr>
          <w:sz w:val="24"/>
          <w:szCs w:val="24"/>
        </w:rPr>
        <w:t xml:space="preserve">Applications </w:t>
      </w:r>
      <w:r w:rsidR="00D879C6">
        <w:rPr>
          <w:sz w:val="24"/>
          <w:szCs w:val="24"/>
        </w:rPr>
        <w:t>are due on July 1</w:t>
      </w:r>
      <w:r w:rsidR="00D879C6" w:rsidRPr="00D879C6">
        <w:rPr>
          <w:sz w:val="24"/>
          <w:szCs w:val="24"/>
          <w:vertAlign w:val="superscript"/>
        </w:rPr>
        <w:t>st</w:t>
      </w:r>
      <w:r w:rsidR="00D879C6">
        <w:rPr>
          <w:sz w:val="24"/>
          <w:szCs w:val="24"/>
        </w:rPr>
        <w:t xml:space="preserve"> of every odd numbered year</w:t>
      </w:r>
    </w:p>
    <w:p w:rsidR="000F6E7C" w:rsidRPr="00D879C6" w:rsidRDefault="00D879C6" w:rsidP="000F6E7C">
      <w:pPr>
        <w:pStyle w:val="ListParagraph"/>
        <w:numPr>
          <w:ilvl w:val="0"/>
          <w:numId w:val="2"/>
        </w:numPr>
        <w:spacing w:after="0" w:line="240" w:lineRule="auto"/>
        <w:rPr>
          <w:sz w:val="24"/>
          <w:szCs w:val="24"/>
        </w:rPr>
      </w:pPr>
      <w:r>
        <w:rPr>
          <w:sz w:val="24"/>
          <w:szCs w:val="24"/>
        </w:rPr>
        <w:t>Applications will be approved or denied by November 1</w:t>
      </w:r>
      <w:r w:rsidRPr="00D879C6">
        <w:rPr>
          <w:sz w:val="24"/>
          <w:szCs w:val="24"/>
          <w:vertAlign w:val="superscript"/>
        </w:rPr>
        <w:t>st</w:t>
      </w:r>
      <w:r>
        <w:rPr>
          <w:sz w:val="24"/>
          <w:szCs w:val="24"/>
        </w:rPr>
        <w:t xml:space="preserve"> of the odd numbered year</w:t>
      </w:r>
    </w:p>
    <w:p w:rsidR="000F6E7C" w:rsidRDefault="00193B83" w:rsidP="000F6E7C">
      <w:pPr>
        <w:pStyle w:val="ListParagraph"/>
        <w:numPr>
          <w:ilvl w:val="0"/>
          <w:numId w:val="2"/>
        </w:numPr>
        <w:spacing w:after="0" w:line="240" w:lineRule="auto"/>
        <w:rPr>
          <w:sz w:val="24"/>
          <w:szCs w:val="24"/>
        </w:rPr>
      </w:pPr>
      <w:r w:rsidRPr="00D879C6">
        <w:rPr>
          <w:sz w:val="24"/>
          <w:szCs w:val="24"/>
        </w:rPr>
        <w:t>The HAVA Grant Board will meet twice per year to review applications.  Th</w:t>
      </w:r>
      <w:r w:rsidR="006C44B8" w:rsidRPr="00D879C6">
        <w:rPr>
          <w:sz w:val="24"/>
          <w:szCs w:val="24"/>
        </w:rPr>
        <w:t>ese meetings</w:t>
      </w:r>
      <w:r w:rsidRPr="00D879C6">
        <w:rPr>
          <w:sz w:val="24"/>
          <w:szCs w:val="24"/>
        </w:rPr>
        <w:t xml:space="preserve"> can be done over conference call or in-person meetings.</w:t>
      </w:r>
    </w:p>
    <w:p w:rsidR="006306C7" w:rsidRDefault="006306C7" w:rsidP="006306C7">
      <w:pPr>
        <w:spacing w:after="0" w:line="240" w:lineRule="auto"/>
        <w:rPr>
          <w:sz w:val="24"/>
          <w:szCs w:val="24"/>
        </w:rPr>
      </w:pPr>
    </w:p>
    <w:p w:rsidR="006306C7" w:rsidRDefault="006306C7" w:rsidP="006306C7">
      <w:pPr>
        <w:spacing w:after="0" w:line="240" w:lineRule="auto"/>
        <w:rPr>
          <w:sz w:val="24"/>
          <w:szCs w:val="24"/>
        </w:rPr>
      </w:pPr>
    </w:p>
    <w:p w:rsidR="00445220" w:rsidRDefault="00445220" w:rsidP="006306C7">
      <w:pPr>
        <w:spacing w:after="0" w:line="240" w:lineRule="auto"/>
        <w:rPr>
          <w:sz w:val="24"/>
          <w:szCs w:val="24"/>
          <w:u w:val="single"/>
        </w:rPr>
      </w:pPr>
    </w:p>
    <w:p w:rsidR="00E25366" w:rsidRDefault="00E25366" w:rsidP="006306C7">
      <w:pPr>
        <w:spacing w:after="0" w:line="240" w:lineRule="auto"/>
        <w:rPr>
          <w:sz w:val="24"/>
          <w:szCs w:val="24"/>
          <w:u w:val="single"/>
        </w:rPr>
      </w:pPr>
    </w:p>
    <w:p w:rsidR="00E25366" w:rsidRDefault="00EB65D7" w:rsidP="00EB65D7">
      <w:pPr>
        <w:tabs>
          <w:tab w:val="left" w:pos="1485"/>
        </w:tabs>
        <w:spacing w:after="0" w:line="240" w:lineRule="auto"/>
        <w:rPr>
          <w:sz w:val="24"/>
          <w:szCs w:val="24"/>
          <w:u w:val="single"/>
        </w:rPr>
      </w:pPr>
      <w:r>
        <w:rPr>
          <w:sz w:val="24"/>
          <w:szCs w:val="24"/>
          <w:u w:val="single"/>
        </w:rPr>
        <w:tab/>
      </w:r>
    </w:p>
    <w:p w:rsidR="006306C7" w:rsidRPr="00BA7F91" w:rsidRDefault="006306C7" w:rsidP="006306C7">
      <w:pPr>
        <w:spacing w:after="0" w:line="240" w:lineRule="auto"/>
        <w:rPr>
          <w:sz w:val="24"/>
          <w:szCs w:val="24"/>
          <w:u w:val="single"/>
        </w:rPr>
      </w:pPr>
      <w:r w:rsidRPr="00BA7F91">
        <w:rPr>
          <w:sz w:val="24"/>
          <w:szCs w:val="24"/>
          <w:u w:val="single"/>
        </w:rPr>
        <w:lastRenderedPageBreak/>
        <w:t>In-Person Absentee Voting Satellite Location Parameters:</w:t>
      </w:r>
    </w:p>
    <w:p w:rsidR="00C901D0" w:rsidRPr="00F64229" w:rsidRDefault="00C901D0" w:rsidP="00C901D0">
      <w:pPr>
        <w:pStyle w:val="ListParagraph"/>
        <w:numPr>
          <w:ilvl w:val="0"/>
          <w:numId w:val="2"/>
        </w:numPr>
        <w:spacing w:after="0" w:line="240" w:lineRule="auto"/>
        <w:ind w:left="360"/>
        <w:rPr>
          <w:sz w:val="24"/>
          <w:szCs w:val="24"/>
        </w:rPr>
      </w:pPr>
      <w:r w:rsidRPr="00F64229">
        <w:rPr>
          <w:sz w:val="24"/>
          <w:szCs w:val="24"/>
        </w:rPr>
        <w:t>The following criteria must be met before a county may be allowed to use HAVA funds to set</w:t>
      </w:r>
      <w:r w:rsidR="00236C79">
        <w:rPr>
          <w:sz w:val="24"/>
          <w:szCs w:val="24"/>
        </w:rPr>
        <w:t xml:space="preserve"> </w:t>
      </w:r>
      <w:r w:rsidRPr="00F64229">
        <w:rPr>
          <w:sz w:val="24"/>
          <w:szCs w:val="24"/>
        </w:rPr>
        <w:t xml:space="preserve">up an additional in-person satellite absentee voting location in a particular jurisdiction. The voters living in the jurisdiction*: </w:t>
      </w:r>
    </w:p>
    <w:p w:rsidR="00C901D0" w:rsidRPr="00F64229" w:rsidRDefault="00C901D0" w:rsidP="00C901D0">
      <w:pPr>
        <w:pStyle w:val="ListParagraph"/>
        <w:numPr>
          <w:ilvl w:val="1"/>
          <w:numId w:val="2"/>
        </w:numPr>
        <w:spacing w:after="0" w:line="240" w:lineRule="auto"/>
        <w:ind w:left="1080"/>
        <w:rPr>
          <w:sz w:val="24"/>
          <w:szCs w:val="24"/>
        </w:rPr>
      </w:pPr>
      <w:r w:rsidRPr="00F64229">
        <w:rPr>
          <w:sz w:val="24"/>
          <w:szCs w:val="24"/>
        </w:rPr>
        <w:t xml:space="preserve">Have 50% more individuals below the poverty line than the rest of the county; and </w:t>
      </w:r>
    </w:p>
    <w:p w:rsidR="00C901D0" w:rsidRPr="00F64229" w:rsidRDefault="00C901D0" w:rsidP="00C901D0">
      <w:pPr>
        <w:pStyle w:val="ListParagraph"/>
        <w:numPr>
          <w:ilvl w:val="1"/>
          <w:numId w:val="2"/>
        </w:numPr>
        <w:spacing w:after="0" w:line="240" w:lineRule="auto"/>
        <w:ind w:left="1080"/>
        <w:rPr>
          <w:sz w:val="24"/>
          <w:szCs w:val="24"/>
        </w:rPr>
      </w:pPr>
      <w:r w:rsidRPr="00F64229">
        <w:rPr>
          <w:sz w:val="24"/>
          <w:szCs w:val="24"/>
        </w:rPr>
        <w:t xml:space="preserve">Live, on average, 50% farther from the existing county seat or other satellite location </w:t>
      </w:r>
      <w:r w:rsidR="001E303B" w:rsidRPr="00F64229">
        <w:rPr>
          <w:sz w:val="24"/>
          <w:szCs w:val="24"/>
        </w:rPr>
        <w:t>than the rest of the county.</w:t>
      </w:r>
    </w:p>
    <w:p w:rsidR="00C901D0" w:rsidRPr="00F64229" w:rsidRDefault="006533B2" w:rsidP="00C901D0">
      <w:pPr>
        <w:pStyle w:val="ListParagraph"/>
        <w:spacing w:after="0" w:line="240" w:lineRule="auto"/>
        <w:ind w:left="1080"/>
        <w:rPr>
          <w:sz w:val="24"/>
          <w:szCs w:val="24"/>
        </w:rPr>
      </w:pPr>
      <w:r w:rsidRPr="00F64229">
        <w:rPr>
          <w:sz w:val="24"/>
          <w:szCs w:val="24"/>
        </w:rPr>
        <w:t xml:space="preserve">OR </w:t>
      </w:r>
    </w:p>
    <w:p w:rsidR="001E303B" w:rsidRPr="00F64229" w:rsidRDefault="001E303B" w:rsidP="00C901D0">
      <w:pPr>
        <w:pStyle w:val="ListParagraph"/>
        <w:numPr>
          <w:ilvl w:val="1"/>
          <w:numId w:val="2"/>
        </w:numPr>
        <w:spacing w:after="0" w:line="240" w:lineRule="auto"/>
        <w:ind w:left="1080"/>
        <w:rPr>
          <w:sz w:val="24"/>
          <w:szCs w:val="24"/>
        </w:rPr>
      </w:pPr>
      <w:r w:rsidRPr="00F64229">
        <w:rPr>
          <w:sz w:val="24"/>
          <w:szCs w:val="24"/>
        </w:rPr>
        <w:t>Jurisdiction for the criteria listed below is limited to a</w:t>
      </w:r>
      <w:r w:rsidR="005914F7" w:rsidRPr="00F64229">
        <w:rPr>
          <w:sz w:val="24"/>
          <w:szCs w:val="24"/>
        </w:rPr>
        <w:t>n</w:t>
      </w:r>
      <w:r w:rsidRPr="00F64229">
        <w:rPr>
          <w:sz w:val="24"/>
          <w:szCs w:val="24"/>
        </w:rPr>
        <w:t xml:space="preserve"> incorporated municipality, unincorporated to</w:t>
      </w:r>
      <w:r w:rsidR="005914F7" w:rsidRPr="00F64229">
        <w:rPr>
          <w:sz w:val="24"/>
          <w:szCs w:val="24"/>
        </w:rPr>
        <w:t>wn or a census designated place</w:t>
      </w:r>
      <w:r w:rsidRPr="00F64229">
        <w:rPr>
          <w:sz w:val="24"/>
          <w:szCs w:val="24"/>
        </w:rPr>
        <w:t>; and</w:t>
      </w:r>
    </w:p>
    <w:p w:rsidR="00C901D0" w:rsidRPr="00F64229" w:rsidRDefault="00C901D0" w:rsidP="00C901D0">
      <w:pPr>
        <w:pStyle w:val="ListParagraph"/>
        <w:numPr>
          <w:ilvl w:val="1"/>
          <w:numId w:val="2"/>
        </w:numPr>
        <w:spacing w:after="0" w:line="240" w:lineRule="auto"/>
        <w:ind w:left="1080"/>
        <w:rPr>
          <w:sz w:val="24"/>
          <w:szCs w:val="24"/>
        </w:rPr>
      </w:pPr>
      <w:r w:rsidRPr="00F64229">
        <w:rPr>
          <w:sz w:val="24"/>
          <w:szCs w:val="24"/>
        </w:rPr>
        <w:t>H</w:t>
      </w:r>
      <w:r w:rsidR="00BA7F91" w:rsidRPr="00F64229">
        <w:rPr>
          <w:sz w:val="24"/>
          <w:szCs w:val="24"/>
        </w:rPr>
        <w:t>ave n</w:t>
      </w:r>
      <w:r w:rsidR="006533B2" w:rsidRPr="00F64229">
        <w:rPr>
          <w:sz w:val="24"/>
          <w:szCs w:val="24"/>
        </w:rPr>
        <w:t xml:space="preserve">o access to </w:t>
      </w:r>
      <w:r w:rsidR="001E303B" w:rsidRPr="00F64229">
        <w:rPr>
          <w:sz w:val="24"/>
          <w:szCs w:val="24"/>
        </w:rPr>
        <w:t xml:space="preserve">affordable, regular, convenient </w:t>
      </w:r>
      <w:r w:rsidR="006533B2" w:rsidRPr="00F64229">
        <w:rPr>
          <w:sz w:val="24"/>
          <w:szCs w:val="24"/>
        </w:rPr>
        <w:t>public transportation within the county</w:t>
      </w:r>
      <w:r w:rsidR="001E303B" w:rsidRPr="00F64229">
        <w:rPr>
          <w:sz w:val="24"/>
          <w:szCs w:val="24"/>
        </w:rPr>
        <w:t xml:space="preserve"> from the proposed satellite location to the county seat</w:t>
      </w:r>
      <w:r w:rsidR="007A563D">
        <w:rPr>
          <w:sz w:val="24"/>
          <w:szCs w:val="24"/>
        </w:rPr>
        <w:t>; and</w:t>
      </w:r>
    </w:p>
    <w:p w:rsidR="006533B2" w:rsidRPr="00F64229" w:rsidRDefault="001E303B" w:rsidP="00C901D0">
      <w:pPr>
        <w:pStyle w:val="ListParagraph"/>
        <w:numPr>
          <w:ilvl w:val="1"/>
          <w:numId w:val="2"/>
        </w:numPr>
        <w:spacing w:after="0" w:line="240" w:lineRule="auto"/>
        <w:ind w:left="1080"/>
        <w:rPr>
          <w:sz w:val="24"/>
          <w:szCs w:val="24"/>
        </w:rPr>
      </w:pPr>
      <w:r w:rsidRPr="00F64229">
        <w:rPr>
          <w:sz w:val="24"/>
          <w:szCs w:val="24"/>
        </w:rPr>
        <w:t xml:space="preserve">The </w:t>
      </w:r>
      <w:r w:rsidR="00427CDC" w:rsidRPr="00F64229">
        <w:rPr>
          <w:sz w:val="24"/>
          <w:szCs w:val="24"/>
        </w:rPr>
        <w:t>j</w:t>
      </w:r>
      <w:r w:rsidRPr="00F64229">
        <w:rPr>
          <w:sz w:val="24"/>
          <w:szCs w:val="24"/>
        </w:rPr>
        <w:t>u</w:t>
      </w:r>
      <w:r w:rsidR="00236C79">
        <w:rPr>
          <w:sz w:val="24"/>
          <w:szCs w:val="24"/>
        </w:rPr>
        <w:t>risdiction is composed of 75% or</w:t>
      </w:r>
      <w:r w:rsidRPr="00F64229">
        <w:rPr>
          <w:sz w:val="24"/>
          <w:szCs w:val="24"/>
        </w:rPr>
        <w:t xml:space="preserve"> more individuals who belong to a suspect class</w:t>
      </w:r>
      <w:r w:rsidR="007A563D">
        <w:rPr>
          <w:sz w:val="24"/>
          <w:szCs w:val="24"/>
        </w:rPr>
        <w:t>.</w:t>
      </w:r>
      <w:r w:rsidRPr="00F64229">
        <w:rPr>
          <w:sz w:val="24"/>
          <w:szCs w:val="24"/>
        </w:rPr>
        <w:t xml:space="preserve"> (Suspect Classes: a presumptively unconstitutional distinction made between individuals on the basis of race, national origin, alienage, or religious affiliation, in a statu</w:t>
      </w:r>
      <w:r w:rsidR="005914F7" w:rsidRPr="00F64229">
        <w:rPr>
          <w:sz w:val="24"/>
          <w:szCs w:val="24"/>
        </w:rPr>
        <w:t>t</w:t>
      </w:r>
      <w:r w:rsidRPr="00F64229">
        <w:rPr>
          <w:sz w:val="24"/>
          <w:szCs w:val="24"/>
        </w:rPr>
        <w:t>e ordinance, regulation, or policy.</w:t>
      </w:r>
      <w:r w:rsidR="00503E0C" w:rsidRPr="00503E0C">
        <w:rPr>
          <w:sz w:val="24"/>
          <w:szCs w:val="24"/>
          <w:vertAlign w:val="superscript"/>
        </w:rPr>
        <w:t>1</w:t>
      </w:r>
      <w:r w:rsidRPr="00F64229">
        <w:rPr>
          <w:sz w:val="24"/>
          <w:szCs w:val="24"/>
        </w:rPr>
        <w:t>)</w:t>
      </w:r>
    </w:p>
    <w:p w:rsidR="00C901D0" w:rsidRPr="00F64229" w:rsidRDefault="00C901D0" w:rsidP="00C901D0">
      <w:pPr>
        <w:spacing w:after="0" w:line="240" w:lineRule="auto"/>
        <w:rPr>
          <w:sz w:val="24"/>
          <w:szCs w:val="24"/>
        </w:rPr>
      </w:pPr>
      <w:r w:rsidRPr="00F64229">
        <w:rPr>
          <w:sz w:val="24"/>
          <w:szCs w:val="24"/>
        </w:rPr>
        <w:t>*According to the most recent United States Census Bureau, American Community Survey results as analyzed by the Government Research Bureau at the University of South Dakota. A jurisdiction is defined as a voting precinct, township, municipality, town, school district, or special district. The following counties are approved to have met the criteria in this plan: Buffalo, Dewey and Jackson Counties</w:t>
      </w:r>
      <w:r w:rsidR="007A563D">
        <w:rPr>
          <w:sz w:val="24"/>
          <w:szCs w:val="24"/>
        </w:rPr>
        <w:t>.</w:t>
      </w:r>
      <w:r w:rsidRPr="00F64229">
        <w:rPr>
          <w:sz w:val="24"/>
          <w:szCs w:val="24"/>
        </w:rPr>
        <w:t xml:space="preserve"> </w:t>
      </w:r>
    </w:p>
    <w:p w:rsidR="006306C7" w:rsidRPr="00F64229" w:rsidRDefault="00C901D0" w:rsidP="00C901D0">
      <w:pPr>
        <w:pStyle w:val="ListParagraph"/>
        <w:numPr>
          <w:ilvl w:val="0"/>
          <w:numId w:val="2"/>
        </w:numPr>
        <w:spacing w:after="0" w:line="240" w:lineRule="auto"/>
        <w:rPr>
          <w:sz w:val="24"/>
          <w:szCs w:val="24"/>
        </w:rPr>
      </w:pPr>
      <w:r w:rsidRPr="00F64229">
        <w:rPr>
          <w:sz w:val="24"/>
          <w:szCs w:val="24"/>
        </w:rPr>
        <w:t>A c</w:t>
      </w:r>
      <w:r w:rsidR="006306C7" w:rsidRPr="00F64229">
        <w:rPr>
          <w:sz w:val="24"/>
          <w:szCs w:val="24"/>
        </w:rPr>
        <w:t>ounty is not required to spend down their county held HAVA fund balance prior to being awarded HAVA grant funds for an in-person absentee voting satellite location</w:t>
      </w:r>
      <w:r w:rsidR="007A563D">
        <w:rPr>
          <w:sz w:val="24"/>
          <w:szCs w:val="24"/>
        </w:rPr>
        <w:t>.</w:t>
      </w:r>
    </w:p>
    <w:p w:rsidR="00BA7F91" w:rsidRPr="00F64229" w:rsidRDefault="004F334F" w:rsidP="00C901D0">
      <w:pPr>
        <w:pStyle w:val="ListParagraph"/>
        <w:numPr>
          <w:ilvl w:val="0"/>
          <w:numId w:val="2"/>
        </w:numPr>
        <w:spacing w:after="0" w:line="240" w:lineRule="auto"/>
        <w:rPr>
          <w:sz w:val="24"/>
          <w:szCs w:val="24"/>
        </w:rPr>
      </w:pPr>
      <w:r w:rsidRPr="00F64229">
        <w:rPr>
          <w:sz w:val="24"/>
          <w:szCs w:val="24"/>
        </w:rPr>
        <w:t>A c</w:t>
      </w:r>
      <w:r w:rsidR="00BA7F91" w:rsidRPr="00F64229">
        <w:rPr>
          <w:sz w:val="24"/>
          <w:szCs w:val="24"/>
        </w:rPr>
        <w:t>ounty must submit estimated expenses to the S</w:t>
      </w:r>
      <w:r w:rsidRPr="00F64229">
        <w:rPr>
          <w:sz w:val="24"/>
          <w:szCs w:val="24"/>
        </w:rPr>
        <w:t>outh Dakota Secretary of State’s</w:t>
      </w:r>
      <w:r w:rsidR="00BA7F91" w:rsidRPr="00F64229">
        <w:rPr>
          <w:sz w:val="24"/>
          <w:szCs w:val="24"/>
        </w:rPr>
        <w:t xml:space="preserve"> office</w:t>
      </w:r>
      <w:r w:rsidRPr="00F64229">
        <w:rPr>
          <w:sz w:val="24"/>
          <w:szCs w:val="24"/>
        </w:rPr>
        <w:t xml:space="preserve"> three</w:t>
      </w:r>
      <w:r w:rsidR="00BA7F91" w:rsidRPr="00F64229">
        <w:rPr>
          <w:sz w:val="24"/>
          <w:szCs w:val="24"/>
        </w:rPr>
        <w:t xml:space="preserve"> </w:t>
      </w:r>
      <w:r w:rsidRPr="00F64229">
        <w:rPr>
          <w:sz w:val="24"/>
          <w:szCs w:val="24"/>
        </w:rPr>
        <w:t>(</w:t>
      </w:r>
      <w:r w:rsidR="00BA7F91" w:rsidRPr="00F64229">
        <w:rPr>
          <w:sz w:val="24"/>
          <w:szCs w:val="24"/>
        </w:rPr>
        <w:t>3</w:t>
      </w:r>
      <w:r w:rsidRPr="00F64229">
        <w:rPr>
          <w:sz w:val="24"/>
          <w:szCs w:val="24"/>
        </w:rPr>
        <w:t>)</w:t>
      </w:r>
      <w:r w:rsidR="00BA7F91" w:rsidRPr="00F64229">
        <w:rPr>
          <w:sz w:val="24"/>
          <w:szCs w:val="24"/>
        </w:rPr>
        <w:t xml:space="preserve"> months prior to the election for pre-approval in order to be reimbursed with HAVA funds</w:t>
      </w:r>
      <w:r w:rsidR="007A563D">
        <w:rPr>
          <w:sz w:val="24"/>
          <w:szCs w:val="24"/>
        </w:rPr>
        <w:t>.</w:t>
      </w:r>
    </w:p>
    <w:p w:rsidR="006306C7" w:rsidRPr="00F64229" w:rsidRDefault="006306C7" w:rsidP="00C901D0">
      <w:pPr>
        <w:pStyle w:val="ListParagraph"/>
        <w:numPr>
          <w:ilvl w:val="0"/>
          <w:numId w:val="2"/>
        </w:numPr>
        <w:spacing w:after="0" w:line="240" w:lineRule="auto"/>
        <w:rPr>
          <w:sz w:val="24"/>
          <w:szCs w:val="24"/>
        </w:rPr>
      </w:pPr>
      <w:r w:rsidRPr="00F64229">
        <w:rPr>
          <w:sz w:val="24"/>
          <w:szCs w:val="24"/>
        </w:rPr>
        <w:t>These parameters do not prohibit the Secretary of State from granting additional HAVA funding to the 66 county auditors at any time</w:t>
      </w:r>
      <w:r w:rsidR="001E303B" w:rsidRPr="00F64229">
        <w:rPr>
          <w:sz w:val="24"/>
          <w:szCs w:val="24"/>
        </w:rPr>
        <w:t xml:space="preserve"> due to extra</w:t>
      </w:r>
      <w:r w:rsidRPr="00F64229">
        <w:rPr>
          <w:sz w:val="24"/>
          <w:szCs w:val="24"/>
        </w:rPr>
        <w:t>ordinary circumstances</w:t>
      </w:r>
      <w:r w:rsidR="007A563D">
        <w:rPr>
          <w:sz w:val="24"/>
          <w:szCs w:val="24"/>
        </w:rPr>
        <w:t>.</w:t>
      </w:r>
    </w:p>
    <w:p w:rsidR="00BA7F91" w:rsidRPr="00F64229" w:rsidRDefault="004F334F" w:rsidP="004F334F">
      <w:pPr>
        <w:pStyle w:val="ListParagraph"/>
        <w:numPr>
          <w:ilvl w:val="0"/>
          <w:numId w:val="2"/>
        </w:numPr>
        <w:spacing w:after="0" w:line="240" w:lineRule="auto"/>
        <w:rPr>
          <w:sz w:val="24"/>
          <w:szCs w:val="24"/>
        </w:rPr>
      </w:pPr>
      <w:r w:rsidRPr="00F64229">
        <w:rPr>
          <w:sz w:val="24"/>
          <w:szCs w:val="24"/>
        </w:rPr>
        <w:t xml:space="preserve">A county is allowed </w:t>
      </w:r>
      <w:r w:rsidR="00BA7F91" w:rsidRPr="00F64229">
        <w:rPr>
          <w:sz w:val="24"/>
          <w:szCs w:val="24"/>
        </w:rPr>
        <w:t xml:space="preserve">(1) </w:t>
      </w:r>
      <w:r w:rsidR="006306C7" w:rsidRPr="00F64229">
        <w:rPr>
          <w:sz w:val="24"/>
          <w:szCs w:val="24"/>
        </w:rPr>
        <w:t xml:space="preserve">HAVA funded satellite </w:t>
      </w:r>
      <w:r w:rsidRPr="00F64229">
        <w:rPr>
          <w:sz w:val="24"/>
          <w:szCs w:val="24"/>
        </w:rPr>
        <w:t>voting location, however, t</w:t>
      </w:r>
      <w:r w:rsidR="006306C7" w:rsidRPr="00F64229">
        <w:rPr>
          <w:sz w:val="24"/>
          <w:szCs w:val="24"/>
        </w:rPr>
        <w:t>hese parameters do not preclude</w:t>
      </w:r>
      <w:r w:rsidR="001E303B" w:rsidRPr="00F64229">
        <w:rPr>
          <w:sz w:val="24"/>
          <w:szCs w:val="24"/>
        </w:rPr>
        <w:t xml:space="preserve"> counties from spending county non-HAVA related</w:t>
      </w:r>
      <w:r w:rsidR="006306C7" w:rsidRPr="00F64229">
        <w:rPr>
          <w:sz w:val="24"/>
          <w:szCs w:val="24"/>
        </w:rPr>
        <w:t xml:space="preserve"> funds to pay for </w:t>
      </w:r>
      <w:r w:rsidR="00BA7F91" w:rsidRPr="00F64229">
        <w:rPr>
          <w:sz w:val="24"/>
          <w:szCs w:val="24"/>
        </w:rPr>
        <w:t>an in-person absentee voting satellite location</w:t>
      </w:r>
      <w:r w:rsidR="007A563D">
        <w:rPr>
          <w:sz w:val="24"/>
          <w:szCs w:val="24"/>
        </w:rPr>
        <w:t>.</w:t>
      </w:r>
    </w:p>
    <w:p w:rsidR="006306C7" w:rsidRDefault="006306C7" w:rsidP="006306C7">
      <w:pPr>
        <w:spacing w:after="0" w:line="240" w:lineRule="auto"/>
        <w:rPr>
          <w:sz w:val="24"/>
          <w:szCs w:val="24"/>
        </w:rPr>
      </w:pPr>
    </w:p>
    <w:p w:rsidR="00503E0C" w:rsidRDefault="00503E0C" w:rsidP="006306C7">
      <w:pPr>
        <w:spacing w:after="0" w:line="240" w:lineRule="auto"/>
        <w:rPr>
          <w:sz w:val="24"/>
          <w:szCs w:val="24"/>
        </w:rPr>
      </w:pPr>
    </w:p>
    <w:p w:rsidR="00503E0C" w:rsidRDefault="00503E0C" w:rsidP="006306C7">
      <w:pPr>
        <w:spacing w:after="0" w:line="240" w:lineRule="auto"/>
        <w:rPr>
          <w:sz w:val="24"/>
          <w:szCs w:val="24"/>
        </w:rPr>
      </w:pPr>
    </w:p>
    <w:p w:rsidR="00EF3175" w:rsidRDefault="00EF3175" w:rsidP="006306C7">
      <w:pPr>
        <w:spacing w:after="0" w:line="240" w:lineRule="auto"/>
        <w:rPr>
          <w:sz w:val="24"/>
          <w:szCs w:val="24"/>
          <w:vertAlign w:val="superscript"/>
        </w:rPr>
      </w:pPr>
    </w:p>
    <w:p w:rsidR="00EF3175" w:rsidRDefault="00EF3175" w:rsidP="006306C7">
      <w:pPr>
        <w:spacing w:after="0" w:line="240" w:lineRule="auto"/>
        <w:rPr>
          <w:sz w:val="24"/>
          <w:szCs w:val="24"/>
          <w:vertAlign w:val="superscript"/>
        </w:rPr>
      </w:pPr>
    </w:p>
    <w:p w:rsidR="00EF3175" w:rsidRDefault="00EF3175" w:rsidP="006306C7">
      <w:pPr>
        <w:spacing w:after="0" w:line="240" w:lineRule="auto"/>
        <w:rPr>
          <w:sz w:val="24"/>
          <w:szCs w:val="24"/>
          <w:vertAlign w:val="superscript"/>
        </w:rPr>
      </w:pPr>
    </w:p>
    <w:p w:rsidR="00EF3175" w:rsidRDefault="00EF3175" w:rsidP="006306C7">
      <w:pPr>
        <w:spacing w:after="0" w:line="240" w:lineRule="auto"/>
        <w:rPr>
          <w:sz w:val="24"/>
          <w:szCs w:val="24"/>
          <w:vertAlign w:val="superscript"/>
        </w:rPr>
      </w:pPr>
    </w:p>
    <w:p w:rsidR="00EF3175" w:rsidRDefault="00EF3175" w:rsidP="006306C7">
      <w:pPr>
        <w:spacing w:after="0" w:line="240" w:lineRule="auto"/>
        <w:rPr>
          <w:sz w:val="24"/>
          <w:szCs w:val="24"/>
          <w:vertAlign w:val="superscript"/>
        </w:rPr>
      </w:pPr>
    </w:p>
    <w:p w:rsidR="00EF3175" w:rsidRDefault="00EF3175" w:rsidP="006306C7">
      <w:pPr>
        <w:spacing w:after="0" w:line="240" w:lineRule="auto"/>
        <w:rPr>
          <w:sz w:val="24"/>
          <w:szCs w:val="24"/>
          <w:vertAlign w:val="superscript"/>
        </w:rPr>
      </w:pPr>
    </w:p>
    <w:p w:rsidR="00EF3175" w:rsidRDefault="00EF3175" w:rsidP="006306C7">
      <w:pPr>
        <w:spacing w:after="0" w:line="240" w:lineRule="auto"/>
        <w:rPr>
          <w:sz w:val="24"/>
          <w:szCs w:val="24"/>
          <w:vertAlign w:val="superscript"/>
        </w:rPr>
      </w:pPr>
    </w:p>
    <w:p w:rsidR="00EF3175" w:rsidRDefault="00EF3175" w:rsidP="006306C7">
      <w:pPr>
        <w:spacing w:after="0" w:line="240" w:lineRule="auto"/>
        <w:rPr>
          <w:sz w:val="24"/>
          <w:szCs w:val="24"/>
          <w:vertAlign w:val="superscript"/>
        </w:rPr>
      </w:pPr>
    </w:p>
    <w:p w:rsidR="00EF3175" w:rsidRDefault="00EF3175" w:rsidP="006306C7">
      <w:pPr>
        <w:spacing w:after="0" w:line="240" w:lineRule="auto"/>
        <w:rPr>
          <w:sz w:val="24"/>
          <w:szCs w:val="24"/>
          <w:vertAlign w:val="superscript"/>
        </w:rPr>
      </w:pPr>
    </w:p>
    <w:p w:rsidR="00EF3175" w:rsidRDefault="00EF3175" w:rsidP="006306C7">
      <w:pPr>
        <w:spacing w:after="0" w:line="240" w:lineRule="auto"/>
        <w:rPr>
          <w:sz w:val="24"/>
          <w:szCs w:val="24"/>
          <w:vertAlign w:val="superscript"/>
        </w:rPr>
      </w:pPr>
    </w:p>
    <w:p w:rsidR="00EF3175" w:rsidRDefault="00EF3175" w:rsidP="006306C7">
      <w:pPr>
        <w:spacing w:after="0" w:line="240" w:lineRule="auto"/>
        <w:rPr>
          <w:sz w:val="24"/>
          <w:szCs w:val="24"/>
          <w:vertAlign w:val="superscript"/>
        </w:rPr>
      </w:pPr>
    </w:p>
    <w:p w:rsidR="00EF3175" w:rsidRDefault="00EF3175" w:rsidP="006306C7">
      <w:pPr>
        <w:spacing w:after="0" w:line="240" w:lineRule="auto"/>
        <w:rPr>
          <w:sz w:val="24"/>
          <w:szCs w:val="24"/>
          <w:vertAlign w:val="superscript"/>
        </w:rPr>
      </w:pPr>
    </w:p>
    <w:p w:rsidR="00503E0C" w:rsidRDefault="00503E0C" w:rsidP="006306C7">
      <w:pPr>
        <w:spacing w:after="0" w:line="240" w:lineRule="auto"/>
        <w:rPr>
          <w:sz w:val="24"/>
          <w:szCs w:val="24"/>
        </w:rPr>
      </w:pPr>
      <w:r w:rsidRPr="00503E0C">
        <w:rPr>
          <w:sz w:val="24"/>
          <w:szCs w:val="24"/>
          <w:vertAlign w:val="superscript"/>
        </w:rPr>
        <w:t>1</w:t>
      </w:r>
      <w:r>
        <w:rPr>
          <w:sz w:val="24"/>
          <w:szCs w:val="24"/>
        </w:rPr>
        <w:t xml:space="preserve"> </w:t>
      </w:r>
      <w:r w:rsidR="00AE7FB4">
        <w:rPr>
          <w:sz w:val="24"/>
          <w:szCs w:val="24"/>
        </w:rPr>
        <w:t xml:space="preserve">As defined by: </w:t>
      </w:r>
      <w:hyperlink r:id="rId8" w:history="1">
        <w:r w:rsidRPr="00B348D4">
          <w:rPr>
            <w:rStyle w:val="Hyperlink"/>
            <w:sz w:val="24"/>
            <w:szCs w:val="24"/>
          </w:rPr>
          <w:t>https://www.law.cornell.edu/wex/suspect_classification</w:t>
        </w:r>
      </w:hyperlink>
      <w:r>
        <w:rPr>
          <w:sz w:val="24"/>
          <w:szCs w:val="24"/>
        </w:rPr>
        <w:t xml:space="preserve"> </w:t>
      </w:r>
    </w:p>
    <w:p w:rsidR="0060315E" w:rsidRPr="006306C7" w:rsidRDefault="00C32369" w:rsidP="006306C7">
      <w:pPr>
        <w:spacing w:after="0" w:line="240" w:lineRule="auto"/>
        <w:rPr>
          <w:sz w:val="24"/>
          <w:szCs w:val="24"/>
        </w:rPr>
      </w:pPr>
      <w:hyperlink r:id="rId9" w:history="1">
        <w:r w:rsidR="0060315E" w:rsidRPr="00B348D4">
          <w:rPr>
            <w:rStyle w:val="Hyperlink"/>
            <w:sz w:val="24"/>
            <w:szCs w:val="24"/>
          </w:rPr>
          <w:t>http://law2.umkc.edu/faculty/projects/ftrials/conlaw/epcscrutiny.htm</w:t>
        </w:r>
      </w:hyperlink>
      <w:r w:rsidR="0060315E">
        <w:rPr>
          <w:sz w:val="24"/>
          <w:szCs w:val="24"/>
        </w:rPr>
        <w:t xml:space="preserve"> </w:t>
      </w:r>
    </w:p>
    <w:sectPr w:rsidR="0060315E" w:rsidRPr="006306C7" w:rsidSect="00095F82">
      <w:footerReference w:type="default" r:id="rId10"/>
      <w:pgSz w:w="12240" w:h="15840"/>
      <w:pgMar w:top="576" w:right="1296"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63D" w:rsidRDefault="007A563D" w:rsidP="007A563D">
      <w:pPr>
        <w:spacing w:after="0" w:line="240" w:lineRule="auto"/>
      </w:pPr>
      <w:r>
        <w:separator/>
      </w:r>
    </w:p>
  </w:endnote>
  <w:endnote w:type="continuationSeparator" w:id="0">
    <w:p w:rsidR="007A563D" w:rsidRDefault="007A563D" w:rsidP="007A5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63D" w:rsidRDefault="001D7C40">
    <w:pPr>
      <w:pStyle w:val="Footer"/>
    </w:pPr>
    <w:r>
      <w:t xml:space="preserve">Last updated </w:t>
    </w:r>
    <w:r w:rsidR="00EB65D7">
      <w:t>12/20/2018</w:t>
    </w:r>
    <w:r w:rsidR="00EB65D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63D" w:rsidRDefault="007A563D" w:rsidP="007A563D">
      <w:pPr>
        <w:spacing w:after="0" w:line="240" w:lineRule="auto"/>
      </w:pPr>
      <w:r>
        <w:separator/>
      </w:r>
    </w:p>
  </w:footnote>
  <w:footnote w:type="continuationSeparator" w:id="0">
    <w:p w:rsidR="007A563D" w:rsidRDefault="007A563D" w:rsidP="007A5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7350A"/>
    <w:multiLevelType w:val="hybridMultilevel"/>
    <w:tmpl w:val="24181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72B1D"/>
    <w:multiLevelType w:val="multilevel"/>
    <w:tmpl w:val="5700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C464D0"/>
    <w:multiLevelType w:val="hybridMultilevel"/>
    <w:tmpl w:val="A0544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3F3"/>
    <w:rsid w:val="00095F82"/>
    <w:rsid w:val="000F6E7C"/>
    <w:rsid w:val="00193B83"/>
    <w:rsid w:val="001D7C40"/>
    <w:rsid w:val="001E303B"/>
    <w:rsid w:val="00236C79"/>
    <w:rsid w:val="002A5AD0"/>
    <w:rsid w:val="0035179F"/>
    <w:rsid w:val="00427CDC"/>
    <w:rsid w:val="00445220"/>
    <w:rsid w:val="004F334F"/>
    <w:rsid w:val="00503E0C"/>
    <w:rsid w:val="005914F7"/>
    <w:rsid w:val="005E2B8E"/>
    <w:rsid w:val="0060315E"/>
    <w:rsid w:val="006306C7"/>
    <w:rsid w:val="006533B2"/>
    <w:rsid w:val="006727ED"/>
    <w:rsid w:val="006C44B8"/>
    <w:rsid w:val="006D0860"/>
    <w:rsid w:val="007A563D"/>
    <w:rsid w:val="007D2508"/>
    <w:rsid w:val="008043F3"/>
    <w:rsid w:val="00806685"/>
    <w:rsid w:val="008230DA"/>
    <w:rsid w:val="009B7EB4"/>
    <w:rsid w:val="00AE7FB4"/>
    <w:rsid w:val="00B44B1A"/>
    <w:rsid w:val="00BA7F91"/>
    <w:rsid w:val="00BD342F"/>
    <w:rsid w:val="00C32369"/>
    <w:rsid w:val="00C5602E"/>
    <w:rsid w:val="00C56453"/>
    <w:rsid w:val="00C5716F"/>
    <w:rsid w:val="00C66907"/>
    <w:rsid w:val="00C901D0"/>
    <w:rsid w:val="00D879C6"/>
    <w:rsid w:val="00E25366"/>
    <w:rsid w:val="00E81F1B"/>
    <w:rsid w:val="00EB65D7"/>
    <w:rsid w:val="00EC2FE8"/>
    <w:rsid w:val="00EF3175"/>
    <w:rsid w:val="00F6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D0CAFC"/>
  <w15:docId w15:val="{9DDB3FC9-7C4B-47E8-B46B-F781B761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3F3"/>
    <w:pPr>
      <w:ind w:left="720"/>
      <w:contextualSpacing/>
    </w:pPr>
  </w:style>
  <w:style w:type="paragraph" w:styleId="Header">
    <w:name w:val="header"/>
    <w:basedOn w:val="Normal"/>
    <w:link w:val="HeaderChar"/>
    <w:uiPriority w:val="99"/>
    <w:unhideWhenUsed/>
    <w:rsid w:val="007A5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63D"/>
  </w:style>
  <w:style w:type="paragraph" w:styleId="Footer">
    <w:name w:val="footer"/>
    <w:basedOn w:val="Normal"/>
    <w:link w:val="FooterChar"/>
    <w:uiPriority w:val="99"/>
    <w:unhideWhenUsed/>
    <w:rsid w:val="007A5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63D"/>
  </w:style>
  <w:style w:type="character" w:styleId="Hyperlink">
    <w:name w:val="Hyperlink"/>
    <w:basedOn w:val="DefaultParagraphFont"/>
    <w:uiPriority w:val="99"/>
    <w:unhideWhenUsed/>
    <w:rsid w:val="00503E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47036">
      <w:bodyDiv w:val="1"/>
      <w:marLeft w:val="0"/>
      <w:marRight w:val="0"/>
      <w:marTop w:val="0"/>
      <w:marBottom w:val="0"/>
      <w:divBdr>
        <w:top w:val="none" w:sz="0" w:space="0" w:color="auto"/>
        <w:left w:val="none" w:sz="0" w:space="0" w:color="auto"/>
        <w:bottom w:val="none" w:sz="0" w:space="0" w:color="auto"/>
        <w:right w:val="none" w:sz="0" w:space="0" w:color="auto"/>
      </w:divBdr>
    </w:div>
    <w:div w:id="1085028156">
      <w:bodyDiv w:val="1"/>
      <w:marLeft w:val="0"/>
      <w:marRight w:val="0"/>
      <w:marTop w:val="0"/>
      <w:marBottom w:val="0"/>
      <w:divBdr>
        <w:top w:val="none" w:sz="0" w:space="0" w:color="auto"/>
        <w:left w:val="none" w:sz="0" w:space="0" w:color="auto"/>
        <w:bottom w:val="none" w:sz="0" w:space="0" w:color="auto"/>
        <w:right w:val="none" w:sz="0" w:space="0" w:color="auto"/>
      </w:divBdr>
    </w:div>
    <w:div w:id="17614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wex/suspect_classifi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2.umkc.edu/faculty/projects/ftrials/conlaw/epcscrutin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7BCF9-1AC0-464E-B1D7-2FF45527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BF0F5DC3.dotm</Template>
  <TotalTime>15</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 Kea</dc:creator>
  <cp:lastModifiedBy>Mennenger, Rory</cp:lastModifiedBy>
  <cp:revision>5</cp:revision>
  <cp:lastPrinted>2015-08-14T13:54:00Z</cp:lastPrinted>
  <dcterms:created xsi:type="dcterms:W3CDTF">2017-11-02T21:27:00Z</dcterms:created>
  <dcterms:modified xsi:type="dcterms:W3CDTF">2019-05-09T14:55:00Z</dcterms:modified>
</cp:coreProperties>
</file>